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600" w:tblpY="-539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</w:tblGrid>
      <w:tr w:rsidR="00D724FA" w:rsidRPr="001A3C94" w:rsidTr="00D724FA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4FA" w:rsidRPr="001A3C94" w:rsidRDefault="00D724FA" w:rsidP="00D724FA">
            <w:pPr>
              <w:rPr>
                <w:rFonts w:ascii="Arial" w:hAnsi="Arial" w:cs="Arial"/>
                <w:sz w:val="20"/>
              </w:rPr>
            </w:pPr>
            <w:r w:rsidRPr="001A3C94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A" w:rsidRPr="001A3C94" w:rsidRDefault="00D724FA" w:rsidP="00D724FA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88443E" w:rsidRPr="008D0B7A" w:rsidRDefault="0088443E" w:rsidP="0088443E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88443E" w:rsidRPr="008D0B7A" w:rsidRDefault="0088443E" w:rsidP="0088443E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88443E" w:rsidRPr="008D0B7A" w:rsidRDefault="0088443E" w:rsidP="0088443E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APRIL </w:t>
      </w:r>
      <w:r w:rsidRPr="008D0B7A">
        <w:rPr>
          <w:rFonts w:ascii="Arial" w:hAnsi="Arial" w:cs="Arial"/>
          <w:b/>
          <w:sz w:val="26"/>
          <w:szCs w:val="26"/>
        </w:rPr>
        <w:t>- 201</w:t>
      </w:r>
      <w:r>
        <w:rPr>
          <w:rFonts w:ascii="Arial" w:hAnsi="Arial" w:cs="Arial"/>
          <w:b/>
          <w:sz w:val="26"/>
          <w:szCs w:val="26"/>
        </w:rPr>
        <w:t>6</w:t>
      </w:r>
      <w:r w:rsidRPr="008D0B7A">
        <w:rPr>
          <w:rFonts w:ascii="Arial" w:hAnsi="Arial" w:cs="Arial"/>
          <w:b/>
          <w:sz w:val="26"/>
          <w:szCs w:val="26"/>
        </w:rPr>
        <w:t xml:space="preserve">                     </w:t>
      </w:r>
      <w:r>
        <w:rPr>
          <w:rFonts w:ascii="Arial" w:hAnsi="Arial" w:cs="Arial"/>
          <w:b/>
          <w:sz w:val="26"/>
          <w:szCs w:val="26"/>
        </w:rPr>
        <w:t xml:space="preserve">             CCO6C</w:t>
      </w:r>
    </w:p>
    <w:p w:rsidR="0088443E" w:rsidRPr="008D0B7A" w:rsidRDefault="0088443E" w:rsidP="008844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COST ACCOUNTING - II</w:t>
      </w:r>
    </w:p>
    <w:p w:rsidR="0088443E" w:rsidRPr="00324EBE" w:rsidRDefault="00AF4AEC" w:rsidP="0088443E">
      <w:pPr>
        <w:rPr>
          <w:rFonts w:ascii="Arial Black" w:hAnsi="Arial Black"/>
          <w:sz w:val="22"/>
          <w:szCs w:val="22"/>
        </w:rPr>
      </w:pPr>
      <w:r w:rsidRPr="00AF4AEC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0,.9pt" to="488.9pt,.9pt" strokeweight="2.25pt"/>
        </w:pict>
      </w:r>
      <w:r w:rsidR="0088443E" w:rsidRPr="00324EBE">
        <w:rPr>
          <w:rFonts w:ascii="Arial Black" w:hAnsi="Arial Black"/>
          <w:sz w:val="22"/>
          <w:szCs w:val="22"/>
        </w:rPr>
        <w:t>Time : 3 Hrs</w:t>
      </w:r>
      <w:r w:rsidR="0088443E" w:rsidRPr="00324EBE">
        <w:rPr>
          <w:rFonts w:ascii="Arial Black" w:hAnsi="Arial Black"/>
          <w:sz w:val="22"/>
          <w:szCs w:val="22"/>
        </w:rPr>
        <w:tab/>
      </w:r>
      <w:r w:rsidR="0088443E" w:rsidRPr="00324EBE">
        <w:rPr>
          <w:rFonts w:ascii="Arial Black" w:hAnsi="Arial Black"/>
          <w:sz w:val="22"/>
          <w:szCs w:val="22"/>
        </w:rPr>
        <w:tab/>
      </w:r>
      <w:r w:rsidR="0088443E">
        <w:rPr>
          <w:rFonts w:ascii="Arial Black" w:hAnsi="Arial Black"/>
          <w:sz w:val="22"/>
          <w:szCs w:val="22"/>
        </w:rPr>
        <w:t xml:space="preserve">      </w:t>
      </w:r>
      <w:r w:rsidR="0088443E" w:rsidRPr="00324EBE">
        <w:rPr>
          <w:rFonts w:ascii="Arial Black" w:hAnsi="Arial Black"/>
          <w:sz w:val="22"/>
          <w:szCs w:val="22"/>
        </w:rPr>
        <w:tab/>
      </w:r>
      <w:r w:rsidR="0088443E" w:rsidRPr="00324EBE">
        <w:rPr>
          <w:rFonts w:ascii="Arial Black" w:hAnsi="Arial Black"/>
          <w:sz w:val="22"/>
          <w:szCs w:val="22"/>
        </w:rPr>
        <w:tab/>
      </w:r>
      <w:r w:rsidR="0088443E" w:rsidRPr="00324EBE">
        <w:rPr>
          <w:rFonts w:ascii="Arial Black" w:hAnsi="Arial Black"/>
          <w:sz w:val="22"/>
          <w:szCs w:val="22"/>
        </w:rPr>
        <w:tab/>
      </w:r>
      <w:r w:rsidR="0088443E">
        <w:rPr>
          <w:rFonts w:ascii="Arial Black" w:hAnsi="Arial Black"/>
          <w:sz w:val="22"/>
          <w:szCs w:val="22"/>
        </w:rPr>
        <w:t xml:space="preserve">                                       Max.</w:t>
      </w:r>
      <w:r w:rsidR="0088443E" w:rsidRPr="00324EBE">
        <w:rPr>
          <w:rFonts w:ascii="Arial Black" w:hAnsi="Arial Black"/>
          <w:sz w:val="22"/>
          <w:szCs w:val="22"/>
        </w:rPr>
        <w:t>Marks : 75</w:t>
      </w:r>
    </w:p>
    <w:p w:rsidR="0088443E" w:rsidRDefault="0088443E" w:rsidP="0088443E">
      <w:pPr>
        <w:jc w:val="center"/>
        <w:rPr>
          <w:rFonts w:ascii="Arial Black" w:hAnsi="Arial Black"/>
        </w:rPr>
      </w:pPr>
    </w:p>
    <w:p w:rsidR="0088443E" w:rsidRPr="008D0B7A" w:rsidRDefault="0088443E" w:rsidP="0088443E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88443E" w:rsidRPr="008D0B7A" w:rsidRDefault="0088443E" w:rsidP="0088443E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88443E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contract costing?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Escalation clause?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standing charges? Give examples.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Equivalent production?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objectives of joint product costing.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find abnormal loss and how would you treat it?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standard costing?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break – even point in units and in rupees from the following particulars:</w:t>
      </w:r>
    </w:p>
    <w:tbl>
      <w:tblPr>
        <w:tblStyle w:val="TableGrid"/>
        <w:tblW w:w="0" w:type="auto"/>
        <w:jc w:val="center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1195"/>
      </w:tblGrid>
      <w:tr w:rsidR="006C5305" w:rsidTr="007C779F">
        <w:trPr>
          <w:jc w:val="center"/>
        </w:trPr>
        <w:tc>
          <w:tcPr>
            <w:tcW w:w="2797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6C5305" w:rsidRDefault="006C5305" w:rsidP="006C53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6C5305" w:rsidTr="007C779F">
        <w:trPr>
          <w:jc w:val="center"/>
        </w:trPr>
        <w:tc>
          <w:tcPr>
            <w:tcW w:w="2797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expenses</w:t>
            </w:r>
          </w:p>
        </w:tc>
        <w:tc>
          <w:tcPr>
            <w:tcW w:w="1195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1,50,000</w:t>
            </w:r>
          </w:p>
        </w:tc>
      </w:tr>
      <w:tr w:rsidR="006C5305" w:rsidTr="007C779F">
        <w:trPr>
          <w:jc w:val="center"/>
        </w:trPr>
        <w:tc>
          <w:tcPr>
            <w:tcW w:w="2797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cost per unit</w:t>
            </w:r>
          </w:p>
        </w:tc>
        <w:tc>
          <w:tcPr>
            <w:tcW w:w="1195" w:type="dxa"/>
          </w:tcPr>
          <w:p w:rsidR="006C5305" w:rsidRDefault="006C5305" w:rsidP="006C53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C5305" w:rsidTr="007C779F">
        <w:trPr>
          <w:jc w:val="center"/>
        </w:trPr>
        <w:tc>
          <w:tcPr>
            <w:tcW w:w="2797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price cost per unit</w:t>
            </w:r>
          </w:p>
        </w:tc>
        <w:tc>
          <w:tcPr>
            <w:tcW w:w="1195" w:type="dxa"/>
          </w:tcPr>
          <w:p w:rsidR="006C5305" w:rsidRDefault="006C5305" w:rsidP="006C53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make or buy decision making?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Given that the cost of standards for materials consumption are 40 kgs of @ Rs.10 p.kg. Compute the variance when </w:t>
      </w:r>
      <w:r w:rsidR="003F617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ctuals are: 48 kgs @ Rs.12 p.kg.</w:t>
      </w:r>
    </w:p>
    <w:p w:rsidR="00F42C2B" w:rsidRDefault="00F42C2B" w:rsidP="0088443E">
      <w:pPr>
        <w:jc w:val="center"/>
        <w:rPr>
          <w:rFonts w:ascii="Arial Black" w:hAnsi="Arial Black"/>
        </w:rPr>
      </w:pPr>
    </w:p>
    <w:p w:rsidR="0088443E" w:rsidRPr="008D0B7A" w:rsidRDefault="0088443E" w:rsidP="0088443E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88443E" w:rsidRPr="008D0B7A" w:rsidRDefault="0088443E" w:rsidP="0088443E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88443E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job costing? Mention the type of industries in which this system would be suitable and i</w:t>
      </w:r>
      <w:r w:rsidR="00DE02C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 merits.</w:t>
      </w:r>
    </w:p>
    <w:p w:rsidR="006C5305" w:rsidRDefault="006C5305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contract ledger of a company showed the following particulars in respect of contract    no. 50 which was commenced on 1</w:t>
      </w:r>
      <w:r w:rsidRPr="006C530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April, 2006:</w:t>
      </w:r>
    </w:p>
    <w:tbl>
      <w:tblPr>
        <w:tblStyle w:val="TableGrid"/>
        <w:tblW w:w="0" w:type="auto"/>
        <w:jc w:val="center"/>
        <w:tblInd w:w="930" w:type="dxa"/>
        <w:tblLook w:val="04A0"/>
      </w:tblPr>
      <w:tblGrid>
        <w:gridCol w:w="2564"/>
        <w:gridCol w:w="1012"/>
      </w:tblGrid>
      <w:tr w:rsidR="006C5305" w:rsidTr="007C779F">
        <w:trPr>
          <w:jc w:val="center"/>
        </w:trPr>
        <w:tc>
          <w:tcPr>
            <w:tcW w:w="2564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6C5305" w:rsidRDefault="006C5305" w:rsidP="006C530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6C5305" w:rsidTr="007C779F">
        <w:trPr>
          <w:jc w:val="center"/>
        </w:trPr>
        <w:tc>
          <w:tcPr>
            <w:tcW w:w="2564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issued</w:t>
            </w:r>
          </w:p>
        </w:tc>
        <w:tc>
          <w:tcPr>
            <w:tcW w:w="1012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76,000</w:t>
            </w:r>
          </w:p>
        </w:tc>
      </w:tr>
      <w:tr w:rsidR="006C5305" w:rsidTr="007C779F">
        <w:trPr>
          <w:jc w:val="center"/>
        </w:trPr>
        <w:tc>
          <w:tcPr>
            <w:tcW w:w="2564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wages</w:t>
            </w:r>
          </w:p>
        </w:tc>
        <w:tc>
          <w:tcPr>
            <w:tcW w:w="1012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</w:tr>
      <w:tr w:rsidR="006C5305" w:rsidTr="007C779F">
        <w:trPr>
          <w:jc w:val="center"/>
        </w:trPr>
        <w:tc>
          <w:tcPr>
            <w:tcW w:w="2564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special plant</w:t>
            </w:r>
          </w:p>
        </w:tc>
        <w:tc>
          <w:tcPr>
            <w:tcW w:w="1012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  <w:tr w:rsidR="006C5305" w:rsidTr="007C779F">
        <w:trPr>
          <w:jc w:val="center"/>
        </w:trPr>
        <w:tc>
          <w:tcPr>
            <w:tcW w:w="2564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Chargeable expenses</w:t>
            </w:r>
          </w:p>
        </w:tc>
        <w:tc>
          <w:tcPr>
            <w:tcW w:w="1012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7,000</w:t>
            </w:r>
          </w:p>
        </w:tc>
      </w:tr>
      <w:tr w:rsidR="006C5305" w:rsidTr="007C779F">
        <w:trPr>
          <w:jc w:val="center"/>
        </w:trPr>
        <w:tc>
          <w:tcPr>
            <w:tcW w:w="2564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charges</w:t>
            </w:r>
          </w:p>
        </w:tc>
        <w:tc>
          <w:tcPr>
            <w:tcW w:w="1012" w:type="dxa"/>
          </w:tcPr>
          <w:p w:rsidR="006C5305" w:rsidRDefault="006C5305" w:rsidP="006C53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5,000</w:t>
            </w:r>
          </w:p>
        </w:tc>
      </w:tr>
    </w:tbl>
    <w:p w:rsidR="006C5305" w:rsidRDefault="006C5305" w:rsidP="006C530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contract was completed by 31</w:t>
      </w:r>
      <w:r w:rsidRPr="006C530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2007 and the contract price was Rs.,2,00,000. The value of material and plant returned to store on 31</w:t>
      </w:r>
      <w:r w:rsidR="00DE02CE" w:rsidRPr="00DE02CE">
        <w:rPr>
          <w:rFonts w:ascii="Arial" w:hAnsi="Arial" w:cs="Arial"/>
          <w:sz w:val="22"/>
          <w:szCs w:val="22"/>
          <w:vertAlign w:val="superscript"/>
        </w:rPr>
        <w:t>st</w:t>
      </w:r>
      <w:r w:rsidR="00DE02CE">
        <w:rPr>
          <w:rFonts w:ascii="Arial" w:hAnsi="Arial" w:cs="Arial"/>
          <w:sz w:val="22"/>
          <w:szCs w:val="22"/>
        </w:rPr>
        <w:t xml:space="preserve"> </w:t>
      </w:r>
      <w:r w:rsidR="00ED7DE3">
        <w:rPr>
          <w:rFonts w:ascii="Arial" w:hAnsi="Arial" w:cs="Arial"/>
          <w:sz w:val="22"/>
          <w:szCs w:val="22"/>
        </w:rPr>
        <w:t>March, 2007 was 6,000 and Rs.12,000 respectively</w:t>
      </w:r>
      <w:r w:rsidR="00DE02CE">
        <w:rPr>
          <w:rFonts w:ascii="Arial" w:hAnsi="Arial" w:cs="Arial"/>
          <w:sz w:val="22"/>
          <w:szCs w:val="22"/>
        </w:rPr>
        <w:t>.</w:t>
      </w:r>
      <w:r w:rsidR="00ED7DE3">
        <w:rPr>
          <w:rFonts w:ascii="Arial" w:hAnsi="Arial" w:cs="Arial"/>
          <w:sz w:val="22"/>
          <w:szCs w:val="22"/>
        </w:rPr>
        <w:t xml:space="preserve"> Contract price was received in full on 31</w:t>
      </w:r>
      <w:r w:rsidR="00ED7DE3" w:rsidRPr="00ED7DE3">
        <w:rPr>
          <w:rFonts w:ascii="Arial" w:hAnsi="Arial" w:cs="Arial"/>
          <w:sz w:val="22"/>
          <w:szCs w:val="22"/>
          <w:vertAlign w:val="superscript"/>
        </w:rPr>
        <w:t>st</w:t>
      </w:r>
      <w:r w:rsidR="00ED7DE3">
        <w:rPr>
          <w:rFonts w:ascii="Arial" w:hAnsi="Arial" w:cs="Arial"/>
          <w:sz w:val="22"/>
          <w:szCs w:val="22"/>
        </w:rPr>
        <w:t xml:space="preserve"> March.</w:t>
      </w:r>
    </w:p>
    <w:p w:rsidR="00ED7DE3" w:rsidRDefault="00ED7DE3" w:rsidP="006C530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Prepare contract account and contractee’s personal account.</w:t>
      </w:r>
    </w:p>
    <w:p w:rsidR="006C5305" w:rsidRDefault="00ED7DE3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the economic batch quantity for a company using batch costing with the following information.</w:t>
      </w:r>
    </w:p>
    <w:p w:rsidR="00ED7DE3" w:rsidRDefault="00ED7DE3" w:rsidP="00ED7DE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Annual demand for the component </w:t>
      </w:r>
      <w:r>
        <w:rPr>
          <w:rFonts w:ascii="Arial" w:hAnsi="Arial" w:cs="Arial"/>
          <w:sz w:val="22"/>
          <w:szCs w:val="22"/>
        </w:rPr>
        <w:tab/>
        <w:t>- 4,000 units.</w:t>
      </w:r>
      <w:r>
        <w:rPr>
          <w:rFonts w:ascii="Arial" w:hAnsi="Arial" w:cs="Arial"/>
          <w:sz w:val="22"/>
          <w:szCs w:val="22"/>
        </w:rPr>
        <w:tab/>
      </w:r>
    </w:p>
    <w:p w:rsidR="00ED7DE3" w:rsidRDefault="00ED7DE3" w:rsidP="00ED7DE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up cost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- 100</w:t>
      </w:r>
    </w:p>
    <w:p w:rsidR="00ED7DE3" w:rsidRDefault="00ED7DE3" w:rsidP="00ED7DE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Carrying cost per unit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- 10</w:t>
      </w:r>
    </w:p>
    <w:p w:rsidR="00ED7DE3" w:rsidRDefault="00ED7DE3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process costing? How normal process loss and abnormal process losses are dealt with cost accounting?</w:t>
      </w:r>
    </w:p>
    <w:p w:rsidR="00ED7DE3" w:rsidRDefault="00ED7DE3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transport service company is running </w:t>
      </w:r>
      <w:r w:rsidR="009E2A5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our busses between two towns which are 100 km. </w:t>
      </w:r>
      <w:r w:rsidR="000C252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part. The seating capacity of each bus is 40 passengers. The following particulars were obtained from its books </w:t>
      </w:r>
      <w:r w:rsidR="000C252C">
        <w:rPr>
          <w:rFonts w:ascii="Arial" w:hAnsi="Arial" w:cs="Arial"/>
          <w:sz w:val="22"/>
          <w:szCs w:val="22"/>
        </w:rPr>
        <w:t>for October, 2006.</w:t>
      </w:r>
    </w:p>
    <w:tbl>
      <w:tblPr>
        <w:tblStyle w:val="TableGrid"/>
        <w:tblW w:w="0" w:type="auto"/>
        <w:jc w:val="center"/>
        <w:tblInd w:w="1440" w:type="dxa"/>
        <w:tblLook w:val="04A0"/>
      </w:tblPr>
      <w:tblGrid>
        <w:gridCol w:w="4035"/>
        <w:gridCol w:w="1000"/>
      </w:tblGrid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Wags of drivers, conductors and cleaners 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of office staff and Inspectors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oil and lubricants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Repairs and maintenance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tax and insurance 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Depreciation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and other charges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</w:tr>
      <w:tr w:rsidR="00F76A73" w:rsidTr="00BE4429">
        <w:trPr>
          <w:jc w:val="center"/>
        </w:trPr>
        <w:tc>
          <w:tcPr>
            <w:tcW w:w="4318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012" w:type="dxa"/>
          </w:tcPr>
          <w:p w:rsidR="00F76A73" w:rsidRDefault="00F76A73" w:rsidP="00F42C2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28,800</w:t>
            </w:r>
          </w:p>
        </w:tc>
      </w:tr>
    </w:tbl>
    <w:p w:rsidR="00F76A73" w:rsidRDefault="00F76A73" w:rsidP="00F76A7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Actual passenger carried were 75% of the seating capacity. All the buses ran for 30 </w:t>
      </w:r>
    </w:p>
    <w:p w:rsidR="00F76A73" w:rsidRDefault="00F76A73" w:rsidP="00F76A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days. Each bus made one round trip per day.</w:t>
      </w:r>
    </w:p>
    <w:p w:rsidR="00F76A73" w:rsidRDefault="00F76A73" w:rsidP="00F76A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Find out the cost per passenger kilometer.</w:t>
      </w:r>
    </w:p>
    <w:p w:rsidR="00F76A73" w:rsidRDefault="00F76A73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10,000 units have been used to process ‘A’ at a cost of Rs.20,000. The other expenses are as follows:</w:t>
      </w:r>
    </w:p>
    <w:tbl>
      <w:tblPr>
        <w:tblStyle w:val="TableGrid"/>
        <w:tblW w:w="0" w:type="auto"/>
        <w:jc w:val="center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1403"/>
      </w:tblGrid>
      <w:tr w:rsidR="00F76A73" w:rsidTr="00F42C2B">
        <w:trPr>
          <w:jc w:val="center"/>
        </w:trPr>
        <w:tc>
          <w:tcPr>
            <w:tcW w:w="2051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Materials</w:t>
            </w:r>
          </w:p>
        </w:tc>
        <w:tc>
          <w:tcPr>
            <w:tcW w:w="1403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15,000</w:t>
            </w:r>
          </w:p>
        </w:tc>
      </w:tr>
      <w:tr w:rsidR="00F76A73" w:rsidTr="00F42C2B">
        <w:trPr>
          <w:jc w:val="center"/>
        </w:trPr>
        <w:tc>
          <w:tcPr>
            <w:tcW w:w="2051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wages</w:t>
            </w:r>
          </w:p>
        </w:tc>
        <w:tc>
          <w:tcPr>
            <w:tcW w:w="1403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25,000</w:t>
            </w:r>
          </w:p>
        </w:tc>
      </w:tr>
      <w:tr w:rsidR="00F76A73" w:rsidTr="00F42C2B">
        <w:trPr>
          <w:jc w:val="center"/>
        </w:trPr>
        <w:tc>
          <w:tcPr>
            <w:tcW w:w="2051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overhead</w:t>
            </w:r>
          </w:p>
        </w:tc>
        <w:tc>
          <w:tcPr>
            <w:tcW w:w="1403" w:type="dxa"/>
          </w:tcPr>
          <w:p w:rsidR="00F76A73" w:rsidRDefault="00F76A73" w:rsidP="00F42C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  <w:r w:rsidR="007D77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10,000</w:t>
            </w:r>
          </w:p>
        </w:tc>
      </w:tr>
    </w:tbl>
    <w:p w:rsidR="00F42C2B" w:rsidRDefault="00F76A73" w:rsidP="00F42C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76A73" w:rsidRDefault="00F76A73" w:rsidP="00F42C2B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past experience, it is ascertained that 2% </w:t>
      </w:r>
      <w:r w:rsidR="00E67866">
        <w:rPr>
          <w:rFonts w:ascii="Arial" w:hAnsi="Arial" w:cs="Arial"/>
          <w:sz w:val="22"/>
          <w:szCs w:val="22"/>
        </w:rPr>
        <w:t>of input is wastage which realis</w:t>
      </w:r>
      <w:r>
        <w:rPr>
          <w:rFonts w:ascii="Arial" w:hAnsi="Arial" w:cs="Arial"/>
          <w:sz w:val="22"/>
          <w:szCs w:val="22"/>
        </w:rPr>
        <w:t>es Re.1 per unit. Actual output of process is 9,700 units. Prepare process account, normal wastage A/c and abnormal wastage A/c.</w:t>
      </w:r>
    </w:p>
    <w:p w:rsidR="00F42C2B" w:rsidRDefault="00F42C2B" w:rsidP="00F76A7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76A73" w:rsidRDefault="00F76A73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information relates to production and sales of an article for January and </w:t>
      </w:r>
    </w:p>
    <w:p w:rsidR="00F76A73" w:rsidRDefault="00F76A73" w:rsidP="00F76A7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February.</w:t>
      </w:r>
    </w:p>
    <w:tbl>
      <w:tblPr>
        <w:tblStyle w:val="TableGrid"/>
        <w:tblW w:w="0" w:type="auto"/>
        <w:jc w:val="center"/>
        <w:tblInd w:w="1125" w:type="dxa"/>
        <w:tblLook w:val="04A0"/>
      </w:tblPr>
      <w:tblGrid>
        <w:gridCol w:w="913"/>
        <w:gridCol w:w="1122"/>
        <w:gridCol w:w="1219"/>
      </w:tblGrid>
      <w:tr w:rsidR="00F76A73" w:rsidTr="00DE02CE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</w:tr>
      <w:tr w:rsidR="00F76A73" w:rsidTr="00DE02CE">
        <w:trPr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F76A73" w:rsidTr="00DE02CE">
        <w:trPr>
          <w:jc w:val="center"/>
        </w:trPr>
        <w:tc>
          <w:tcPr>
            <w:tcW w:w="913" w:type="dxa"/>
            <w:tcBorders>
              <w:top w:val="single" w:sz="4" w:space="0" w:color="auto"/>
            </w:tcBorders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65,000</w:t>
            </w:r>
          </w:p>
        </w:tc>
      </w:tr>
      <w:tr w:rsidR="00F76A73" w:rsidTr="00BE4429">
        <w:trPr>
          <w:jc w:val="center"/>
        </w:trPr>
        <w:tc>
          <w:tcPr>
            <w:tcW w:w="913" w:type="dxa"/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Profit </w:t>
            </w:r>
          </w:p>
        </w:tc>
        <w:tc>
          <w:tcPr>
            <w:tcW w:w="1122" w:type="dxa"/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19" w:type="dxa"/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3,000</w:t>
            </w:r>
          </w:p>
        </w:tc>
      </w:tr>
      <w:tr w:rsidR="00F76A73" w:rsidTr="00BE4429">
        <w:trPr>
          <w:jc w:val="center"/>
        </w:trPr>
        <w:tc>
          <w:tcPr>
            <w:tcW w:w="913" w:type="dxa"/>
          </w:tcPr>
          <w:p w:rsidR="00F76A73" w:rsidRDefault="00F76A73" w:rsidP="00F42C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122" w:type="dxa"/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2,400</w:t>
            </w:r>
          </w:p>
        </w:tc>
        <w:tc>
          <w:tcPr>
            <w:tcW w:w="1219" w:type="dxa"/>
          </w:tcPr>
          <w:p w:rsidR="00F76A73" w:rsidRDefault="00F76A73" w:rsidP="00F42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35C40" w:rsidRDefault="00A35C40" w:rsidP="00F42C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252C">
        <w:rPr>
          <w:rFonts w:ascii="Arial" w:hAnsi="Arial" w:cs="Arial"/>
          <w:sz w:val="22"/>
          <w:szCs w:val="22"/>
        </w:rPr>
        <w:t>Calculate</w:t>
      </w:r>
    </w:p>
    <w:p w:rsidR="00A35C40" w:rsidRDefault="00A35C40" w:rsidP="004D2EBB">
      <w:pPr>
        <w:pStyle w:val="ListParagraph"/>
        <w:numPr>
          <w:ilvl w:val="0"/>
          <w:numId w:val="3"/>
        </w:numPr>
        <w:spacing w:line="360" w:lineRule="auto"/>
        <w:ind w:left="198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 – even sales volume.</w:t>
      </w:r>
    </w:p>
    <w:p w:rsidR="00A35C40" w:rsidRDefault="00A35C40" w:rsidP="004D2EBB">
      <w:pPr>
        <w:pStyle w:val="ListParagraph"/>
        <w:numPr>
          <w:ilvl w:val="0"/>
          <w:numId w:val="3"/>
        </w:numPr>
        <w:spacing w:line="360" w:lineRule="auto"/>
        <w:ind w:left="198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Profit or loss at Rs.46,000 sales.</w:t>
      </w:r>
    </w:p>
    <w:p w:rsidR="00A35C40" w:rsidRDefault="00A35C40" w:rsidP="004D2EBB">
      <w:pPr>
        <w:pStyle w:val="ListParagraph"/>
        <w:numPr>
          <w:ilvl w:val="0"/>
          <w:numId w:val="3"/>
        </w:numPr>
        <w:spacing w:line="360" w:lineRule="auto"/>
        <w:ind w:left="198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to earn a profit of Rs.5,000.</w:t>
      </w:r>
    </w:p>
    <w:p w:rsidR="00F76A73" w:rsidRDefault="00F76A73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‘A’ is estimated to require 10 hours per unit. The standard wage rate is </w:t>
      </w:r>
      <w:r w:rsidR="009E2A54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.2 per hour. During May, 2007. 1000 units were produced. Actual time taken was 9,500 hours and the actual wages rate was Rs.2.40 per hours. 100 labour ho</w:t>
      </w:r>
      <w:r w:rsidR="00DE02C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rs were lost due to break – down of machinery. Calculate the various labo</w:t>
      </w:r>
      <w:r w:rsidR="003F617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 variances.</w:t>
      </w:r>
    </w:p>
    <w:p w:rsidR="0088443E" w:rsidRDefault="0088443E" w:rsidP="0088443E">
      <w:pPr>
        <w:ind w:left="360"/>
        <w:jc w:val="center"/>
        <w:rPr>
          <w:rFonts w:ascii="Arial Black" w:hAnsi="Arial Black"/>
        </w:rPr>
      </w:pPr>
    </w:p>
    <w:p w:rsidR="0088443E" w:rsidRPr="008D0B7A" w:rsidRDefault="0088443E" w:rsidP="0088443E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88443E" w:rsidRDefault="0088443E" w:rsidP="0088443E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88443E" w:rsidRDefault="0088443E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C40">
        <w:rPr>
          <w:rFonts w:ascii="Arial" w:hAnsi="Arial" w:cs="Arial"/>
          <w:sz w:val="22"/>
          <w:szCs w:val="22"/>
        </w:rPr>
        <w:t xml:space="preserve">(a) </w:t>
      </w:r>
      <w:r w:rsidR="00A35C40" w:rsidRPr="00A35C40">
        <w:rPr>
          <w:rFonts w:ascii="Arial" w:hAnsi="Arial" w:cs="Arial"/>
          <w:sz w:val="22"/>
          <w:szCs w:val="22"/>
        </w:rPr>
        <w:t xml:space="preserve">What is marginal costing? </w:t>
      </w:r>
      <w:r w:rsidR="00A35C40">
        <w:rPr>
          <w:rFonts w:ascii="Arial" w:hAnsi="Arial" w:cs="Arial"/>
          <w:sz w:val="22"/>
          <w:szCs w:val="22"/>
        </w:rPr>
        <w:t xml:space="preserve"> How does it help in managerial decision making process?</w:t>
      </w:r>
    </w:p>
    <w:p w:rsidR="00A35C40" w:rsidRDefault="00A35C40" w:rsidP="00A35C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A22BCA" w:rsidRDefault="00A35C40" w:rsidP="00A22BC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A building contractor took </w:t>
      </w:r>
      <w:r w:rsidR="00A22BCA">
        <w:rPr>
          <w:rFonts w:ascii="Arial" w:hAnsi="Arial" w:cs="Arial"/>
          <w:sz w:val="22"/>
          <w:szCs w:val="22"/>
        </w:rPr>
        <w:t>a contract for the construction for a certain building on 1</w:t>
      </w:r>
      <w:r w:rsidR="00A22BCA" w:rsidRPr="00A22BCA">
        <w:rPr>
          <w:rFonts w:ascii="Arial" w:hAnsi="Arial" w:cs="Arial"/>
          <w:sz w:val="22"/>
          <w:szCs w:val="22"/>
          <w:vertAlign w:val="superscript"/>
        </w:rPr>
        <w:t>st</w:t>
      </w:r>
      <w:r w:rsidR="00A22BCA">
        <w:rPr>
          <w:rFonts w:ascii="Arial" w:hAnsi="Arial" w:cs="Arial"/>
          <w:sz w:val="22"/>
          <w:szCs w:val="22"/>
        </w:rPr>
        <w:t xml:space="preserve"> April </w:t>
      </w:r>
    </w:p>
    <w:p w:rsidR="00A22BCA" w:rsidRDefault="00A22BCA" w:rsidP="00A22BC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2004. The contract price was agreed at Rs.4,00,000. The contractor has made the </w:t>
      </w:r>
    </w:p>
    <w:p w:rsidR="00A35C40" w:rsidRDefault="00A22BCA" w:rsidP="00A22BC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following expenditure during the year ended 31</w:t>
      </w:r>
      <w:r w:rsidRPr="00A22BC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2005</w:t>
      </w:r>
      <w:r w:rsidR="000C252C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090"/>
        <w:gridCol w:w="1073"/>
      </w:tblGrid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materials purchases</w:t>
            </w: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</w:tr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issued from stores</w:t>
            </w: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</w:tr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Labour</w:t>
            </w: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</w:tr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plant</w:t>
            </w: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</w:tr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 expenses</w:t>
            </w: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FC4EB5" w:rsidTr="00BE4429">
        <w:trPr>
          <w:jc w:val="center"/>
        </w:trPr>
        <w:tc>
          <w:tcPr>
            <w:tcW w:w="3090" w:type="dxa"/>
          </w:tcPr>
          <w:p w:rsidR="00FC4EB5" w:rsidRDefault="00FC4EB5" w:rsidP="00A22B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FC4EB5" w:rsidRDefault="00FC4EB5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1,30,000</w:t>
            </w:r>
          </w:p>
        </w:tc>
      </w:tr>
    </w:tbl>
    <w:p w:rsidR="00A22BCA" w:rsidRDefault="00FC4EB5" w:rsidP="00FC4EB5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further information, prepare contract account for the year and show the amount of the work – in – progress which will be shown in the balance sheet of the contractor: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640"/>
        <w:gridCol w:w="1073"/>
      </w:tblGrid>
      <w:tr w:rsidR="00017870" w:rsidTr="004D2EBB">
        <w:trPr>
          <w:jc w:val="center"/>
        </w:trPr>
        <w:tc>
          <w:tcPr>
            <w:tcW w:w="4640" w:type="dxa"/>
          </w:tcPr>
          <w:p w:rsidR="00017870" w:rsidRDefault="00017870" w:rsidP="00FC4E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017870" w:rsidRDefault="00017870" w:rsidP="000178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017870" w:rsidTr="004D2EBB">
        <w:trPr>
          <w:jc w:val="center"/>
        </w:trPr>
        <w:tc>
          <w:tcPr>
            <w:tcW w:w="4640" w:type="dxa"/>
          </w:tcPr>
          <w:p w:rsidR="00017870" w:rsidRDefault="00017870" w:rsidP="00FC4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plant on 31</w:t>
            </w:r>
            <w:r w:rsidRPr="0001787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March, 2005</w:t>
            </w:r>
          </w:p>
        </w:tc>
        <w:tc>
          <w:tcPr>
            <w:tcW w:w="1073" w:type="dxa"/>
          </w:tcPr>
          <w:p w:rsidR="00017870" w:rsidRDefault="00017870" w:rsidP="0001787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</w:tr>
      <w:tr w:rsidR="00017870" w:rsidTr="004D2EBB">
        <w:trPr>
          <w:jc w:val="center"/>
        </w:trPr>
        <w:tc>
          <w:tcPr>
            <w:tcW w:w="4640" w:type="dxa"/>
          </w:tcPr>
          <w:p w:rsidR="00017870" w:rsidRDefault="00017870" w:rsidP="00FC4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Stock of materials on 31</w:t>
            </w:r>
            <w:r w:rsidRPr="0001787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March, 2005</w:t>
            </w:r>
          </w:p>
        </w:tc>
        <w:tc>
          <w:tcPr>
            <w:tcW w:w="1073" w:type="dxa"/>
          </w:tcPr>
          <w:p w:rsidR="00017870" w:rsidRDefault="00017870" w:rsidP="0001787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017870" w:rsidTr="004D2EBB">
        <w:trPr>
          <w:jc w:val="center"/>
        </w:trPr>
        <w:tc>
          <w:tcPr>
            <w:tcW w:w="4640" w:type="dxa"/>
          </w:tcPr>
          <w:p w:rsidR="00017870" w:rsidRDefault="00017870" w:rsidP="00FC4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returned to stores</w:t>
            </w:r>
          </w:p>
        </w:tc>
        <w:tc>
          <w:tcPr>
            <w:tcW w:w="1073" w:type="dxa"/>
          </w:tcPr>
          <w:p w:rsidR="00017870" w:rsidRDefault="009E2A54" w:rsidP="0001787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017870" w:rsidTr="004D2EBB">
        <w:trPr>
          <w:jc w:val="center"/>
        </w:trPr>
        <w:tc>
          <w:tcPr>
            <w:tcW w:w="4640" w:type="dxa"/>
          </w:tcPr>
          <w:p w:rsidR="00017870" w:rsidRDefault="009E2A54" w:rsidP="000178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certified work </w:t>
            </w:r>
          </w:p>
        </w:tc>
        <w:tc>
          <w:tcPr>
            <w:tcW w:w="1073" w:type="dxa"/>
          </w:tcPr>
          <w:p w:rsidR="00017870" w:rsidRDefault="009E2A54" w:rsidP="0001787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</w:tr>
      <w:tr w:rsidR="009E2A54" w:rsidTr="004D2EBB">
        <w:trPr>
          <w:jc w:val="center"/>
        </w:trPr>
        <w:tc>
          <w:tcPr>
            <w:tcW w:w="4640" w:type="dxa"/>
          </w:tcPr>
          <w:p w:rsidR="009E2A54" w:rsidRDefault="009E2A54" w:rsidP="007759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received form contractoree </w:t>
            </w:r>
          </w:p>
        </w:tc>
        <w:tc>
          <w:tcPr>
            <w:tcW w:w="1073" w:type="dxa"/>
          </w:tcPr>
          <w:p w:rsidR="009E2A54" w:rsidRDefault="009E2A54" w:rsidP="007759E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</w:tr>
      <w:tr w:rsidR="009E2A54" w:rsidTr="004D2EBB">
        <w:trPr>
          <w:jc w:val="center"/>
        </w:trPr>
        <w:tc>
          <w:tcPr>
            <w:tcW w:w="4640" w:type="dxa"/>
          </w:tcPr>
          <w:p w:rsidR="009E2A54" w:rsidRDefault="009E2A54" w:rsidP="007759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uncertified work</w:t>
            </w:r>
          </w:p>
        </w:tc>
        <w:tc>
          <w:tcPr>
            <w:tcW w:w="1073" w:type="dxa"/>
          </w:tcPr>
          <w:p w:rsidR="009E2A54" w:rsidRDefault="009E2A54" w:rsidP="007759E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</w:tr>
    </w:tbl>
    <w:p w:rsidR="00A35C40" w:rsidRDefault="00265E6B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The following data are available in respect of process ‘A’ for the month of April, 2007</w:t>
      </w:r>
      <w:r w:rsidR="000C252C">
        <w:rPr>
          <w:rFonts w:ascii="Arial" w:hAnsi="Arial" w:cs="Arial"/>
          <w:sz w:val="22"/>
          <w:szCs w:val="22"/>
        </w:rPr>
        <w:t>.</w:t>
      </w:r>
    </w:p>
    <w:p w:rsidR="00265E6B" w:rsidRDefault="00265E6B" w:rsidP="00265E6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work – in – progress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- 900 units.</w:t>
      </w:r>
    </w:p>
    <w:p w:rsidR="007D7732" w:rsidRDefault="00265E6B" w:rsidP="00F42C2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 of completion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material 80%, Labour and overhead 60%.</w:t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65E6B" w:rsidRDefault="007D7732" w:rsidP="007D7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65E6B">
        <w:rPr>
          <w:rFonts w:ascii="Arial" w:hAnsi="Arial" w:cs="Arial"/>
          <w:sz w:val="22"/>
          <w:szCs w:val="22"/>
        </w:rPr>
        <w:t xml:space="preserve">Input of materials during the </w:t>
      </w:r>
    </w:p>
    <w:p w:rsidR="00265E6B" w:rsidRDefault="00265E6B" w:rsidP="00265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Month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- 6000 units.</w:t>
      </w:r>
    </w:p>
    <w:p w:rsidR="00265E6B" w:rsidRDefault="00265E6B" w:rsidP="00265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Closing work – in – progress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- 700 units.</w:t>
      </w:r>
    </w:p>
    <w:p w:rsidR="00265E6B" w:rsidRDefault="00265E6B" w:rsidP="00265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Degree of completion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material 70%, labour and overhead 60%.</w:t>
      </w:r>
    </w:p>
    <w:p w:rsidR="00265E6B" w:rsidRDefault="00265E6B" w:rsidP="00265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Units transferred to next process</w:t>
      </w:r>
      <w:r>
        <w:rPr>
          <w:rFonts w:ascii="Arial" w:hAnsi="Arial" w:cs="Arial"/>
          <w:sz w:val="22"/>
          <w:szCs w:val="22"/>
        </w:rPr>
        <w:tab/>
        <w:t>- 6,200 units.</w:t>
      </w:r>
    </w:p>
    <w:p w:rsidR="00265E6B" w:rsidRDefault="00265E6B" w:rsidP="00265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Compute equivalent production for the month of April, 2007.</w:t>
      </w:r>
    </w:p>
    <w:p w:rsidR="00265E6B" w:rsidRDefault="00265E6B" w:rsidP="00265E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265E6B" w:rsidRDefault="00265E6B" w:rsidP="00265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From the following particulars, calculat</w:t>
      </w:r>
      <w:r w:rsidR="000C252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material cost variance, material price variance </w:t>
      </w:r>
    </w:p>
    <w:p w:rsidR="00265E6B" w:rsidRDefault="00265E6B" w:rsidP="00265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and material usage variance.</w:t>
      </w:r>
    </w:p>
    <w:p w:rsidR="00265E6B" w:rsidRDefault="00265E6B" w:rsidP="00265E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7D77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Name of the product : X.</w:t>
      </w:r>
    </w:p>
    <w:tbl>
      <w:tblPr>
        <w:tblStyle w:val="TableGrid"/>
        <w:tblW w:w="0" w:type="auto"/>
        <w:jc w:val="center"/>
        <w:tblLook w:val="04A0"/>
      </w:tblPr>
      <w:tblGrid>
        <w:gridCol w:w="2307"/>
        <w:gridCol w:w="1464"/>
        <w:gridCol w:w="1464"/>
      </w:tblGrid>
      <w:tr w:rsidR="00573A71" w:rsidTr="00573A71">
        <w:trPr>
          <w:jc w:val="center"/>
        </w:trPr>
        <w:tc>
          <w:tcPr>
            <w:tcW w:w="2307" w:type="dxa"/>
          </w:tcPr>
          <w:p w:rsidR="00573A71" w:rsidRDefault="00573A71" w:rsidP="00265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573A71" w:rsidRDefault="00573A71" w:rsidP="00BE44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1464" w:type="dxa"/>
          </w:tcPr>
          <w:p w:rsidR="00573A71" w:rsidRDefault="00573A71" w:rsidP="00BE44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</w:tr>
      <w:tr w:rsidR="00573A71" w:rsidTr="00573A71">
        <w:trPr>
          <w:jc w:val="center"/>
        </w:trPr>
        <w:tc>
          <w:tcPr>
            <w:tcW w:w="2307" w:type="dxa"/>
          </w:tcPr>
          <w:p w:rsidR="00573A71" w:rsidRDefault="00573A71" w:rsidP="00265E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Quantity of material </w:t>
            </w:r>
          </w:p>
        </w:tc>
        <w:tc>
          <w:tcPr>
            <w:tcW w:w="1464" w:type="dxa"/>
          </w:tcPr>
          <w:p w:rsidR="00573A71" w:rsidRDefault="00573A71" w:rsidP="000C25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kg</w:t>
            </w:r>
          </w:p>
        </w:tc>
        <w:tc>
          <w:tcPr>
            <w:tcW w:w="1464" w:type="dxa"/>
          </w:tcPr>
          <w:p w:rsidR="00573A71" w:rsidRDefault="00573A71" w:rsidP="000C25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kg</w:t>
            </w:r>
          </w:p>
        </w:tc>
      </w:tr>
      <w:tr w:rsidR="00573A71" w:rsidTr="00573A71">
        <w:trPr>
          <w:jc w:val="center"/>
        </w:trPr>
        <w:tc>
          <w:tcPr>
            <w:tcW w:w="2307" w:type="dxa"/>
          </w:tcPr>
          <w:p w:rsidR="00573A71" w:rsidRDefault="00573A71" w:rsidP="00265E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Price of material </w:t>
            </w:r>
          </w:p>
        </w:tc>
        <w:tc>
          <w:tcPr>
            <w:tcW w:w="1464" w:type="dxa"/>
          </w:tcPr>
          <w:p w:rsidR="00573A71" w:rsidRDefault="00573A71" w:rsidP="007D773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Rs.6 per kg</w:t>
            </w:r>
          </w:p>
        </w:tc>
        <w:tc>
          <w:tcPr>
            <w:tcW w:w="1464" w:type="dxa"/>
          </w:tcPr>
          <w:p w:rsidR="00573A71" w:rsidRDefault="00573A71" w:rsidP="007D773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Rs.8 per kg</w:t>
            </w:r>
          </w:p>
        </w:tc>
      </w:tr>
    </w:tbl>
    <w:p w:rsidR="001208C8" w:rsidRDefault="001208C8" w:rsidP="001208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3A5E" w:rsidRDefault="00573A71" w:rsidP="0088443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From</w:t>
      </w:r>
      <w:r w:rsidR="003F617E">
        <w:rPr>
          <w:rFonts w:ascii="Arial" w:hAnsi="Arial" w:cs="Arial"/>
          <w:sz w:val="22"/>
          <w:szCs w:val="22"/>
        </w:rPr>
        <w:t xml:space="preserve"> the following information, calculate</w:t>
      </w:r>
      <w:r>
        <w:rPr>
          <w:rFonts w:ascii="Arial" w:hAnsi="Arial" w:cs="Arial"/>
          <w:sz w:val="22"/>
          <w:szCs w:val="22"/>
        </w:rPr>
        <w:t xml:space="preserve"> a break</w:t>
      </w:r>
      <w:r w:rsidR="003F617E">
        <w:rPr>
          <w:rFonts w:ascii="Arial" w:hAnsi="Arial" w:cs="Arial"/>
          <w:sz w:val="22"/>
          <w:szCs w:val="22"/>
        </w:rPr>
        <w:t xml:space="preserve"> – even point</w:t>
      </w:r>
      <w:r w:rsidR="002F3A5E">
        <w:rPr>
          <w:rFonts w:ascii="Arial" w:hAnsi="Arial" w:cs="Arial"/>
          <w:sz w:val="22"/>
          <w:szCs w:val="22"/>
        </w:rPr>
        <w:t xml:space="preserve"> showing the effect of price </w:t>
      </w:r>
    </w:p>
    <w:p w:rsidR="002F3A5E" w:rsidRDefault="000C252C" w:rsidP="002F3A5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chan</w:t>
      </w:r>
      <w:r w:rsidR="002F3A5E">
        <w:rPr>
          <w:rFonts w:ascii="Arial" w:hAnsi="Arial" w:cs="Arial"/>
          <w:sz w:val="22"/>
          <w:szCs w:val="22"/>
        </w:rPr>
        <w:t>ges on break – even point and profits:</w:t>
      </w:r>
      <w:r w:rsidR="002F3A5E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002"/>
        <w:gridCol w:w="1647"/>
      </w:tblGrid>
      <w:tr w:rsidR="002F3A5E" w:rsidTr="002F3A5E">
        <w:trPr>
          <w:jc w:val="center"/>
        </w:trPr>
        <w:tc>
          <w:tcPr>
            <w:tcW w:w="2002" w:type="dxa"/>
          </w:tcPr>
          <w:p w:rsidR="002F3A5E" w:rsidRDefault="002F3A5E" w:rsidP="002F3A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capacity</w:t>
            </w:r>
          </w:p>
        </w:tc>
        <w:tc>
          <w:tcPr>
            <w:tcW w:w="1647" w:type="dxa"/>
          </w:tcPr>
          <w:p w:rsidR="002F3A5E" w:rsidRDefault="002F3A5E" w:rsidP="007D773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units</w:t>
            </w:r>
          </w:p>
        </w:tc>
      </w:tr>
      <w:tr w:rsidR="002F3A5E" w:rsidTr="002F3A5E">
        <w:trPr>
          <w:jc w:val="center"/>
        </w:trPr>
        <w:tc>
          <w:tcPr>
            <w:tcW w:w="2002" w:type="dxa"/>
          </w:tcPr>
          <w:p w:rsidR="002F3A5E" w:rsidRDefault="003F617E" w:rsidP="002F3A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647" w:type="dxa"/>
          </w:tcPr>
          <w:p w:rsidR="002F3A5E" w:rsidRDefault="002F3A5E" w:rsidP="007D773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units</w:t>
            </w:r>
          </w:p>
        </w:tc>
      </w:tr>
      <w:tr w:rsidR="002F3A5E" w:rsidTr="002F3A5E">
        <w:trPr>
          <w:jc w:val="center"/>
        </w:trPr>
        <w:tc>
          <w:tcPr>
            <w:tcW w:w="2002" w:type="dxa"/>
          </w:tcPr>
          <w:p w:rsidR="002F3A5E" w:rsidRDefault="002F3A5E" w:rsidP="002F3A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price</w:t>
            </w:r>
          </w:p>
        </w:tc>
        <w:tc>
          <w:tcPr>
            <w:tcW w:w="1647" w:type="dxa"/>
          </w:tcPr>
          <w:p w:rsidR="002F3A5E" w:rsidRDefault="002F3A5E" w:rsidP="007D773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6 per unit</w:t>
            </w:r>
          </w:p>
        </w:tc>
      </w:tr>
      <w:tr w:rsidR="002F3A5E" w:rsidTr="002F3A5E">
        <w:trPr>
          <w:jc w:val="center"/>
        </w:trPr>
        <w:tc>
          <w:tcPr>
            <w:tcW w:w="2002" w:type="dxa"/>
          </w:tcPr>
          <w:p w:rsidR="002F3A5E" w:rsidRDefault="002F3A5E" w:rsidP="002F3A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Variable cost </w:t>
            </w:r>
          </w:p>
        </w:tc>
        <w:tc>
          <w:tcPr>
            <w:tcW w:w="1647" w:type="dxa"/>
          </w:tcPr>
          <w:p w:rsidR="002F3A5E" w:rsidRDefault="002F3A5E" w:rsidP="007D773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3 per unit</w:t>
            </w:r>
          </w:p>
        </w:tc>
      </w:tr>
      <w:tr w:rsidR="002F3A5E" w:rsidTr="002F3A5E">
        <w:trPr>
          <w:jc w:val="center"/>
        </w:trPr>
        <w:tc>
          <w:tcPr>
            <w:tcW w:w="2002" w:type="dxa"/>
          </w:tcPr>
          <w:p w:rsidR="002F3A5E" w:rsidRDefault="002F3A5E" w:rsidP="002F3A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Fixed cost </w:t>
            </w:r>
          </w:p>
        </w:tc>
        <w:tc>
          <w:tcPr>
            <w:tcW w:w="1647" w:type="dxa"/>
          </w:tcPr>
          <w:p w:rsidR="002F3A5E" w:rsidRDefault="007D7732" w:rsidP="007D77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3A5E">
              <w:rPr>
                <w:rFonts w:ascii="Arial" w:hAnsi="Arial" w:cs="Arial"/>
              </w:rPr>
              <w:t>Rs. 80,000</w:t>
            </w:r>
          </w:p>
        </w:tc>
      </w:tr>
    </w:tbl>
    <w:p w:rsidR="002F3A5E" w:rsidRDefault="002F3A5E" w:rsidP="002F3A5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It is of interest for management to know the effect of </w:t>
      </w:r>
      <w:r w:rsidR="000C252C">
        <w:rPr>
          <w:rFonts w:ascii="Arial" w:hAnsi="Arial" w:cs="Arial"/>
          <w:sz w:val="22"/>
          <w:szCs w:val="22"/>
        </w:rPr>
        <w:t>price c</w:t>
      </w:r>
      <w:r>
        <w:rPr>
          <w:rFonts w:ascii="Arial" w:hAnsi="Arial" w:cs="Arial"/>
          <w:sz w:val="22"/>
          <w:szCs w:val="22"/>
        </w:rPr>
        <w:t>hanges f</w:t>
      </w:r>
      <w:r w:rsidR="000C252C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m Rs. 6 to 5 </w:t>
      </w:r>
    </w:p>
    <w:p w:rsidR="002F3A5E" w:rsidRDefault="002F3A5E" w:rsidP="002F3A5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and Rs. 7.</w:t>
      </w:r>
    </w:p>
    <w:p w:rsidR="002F3A5E" w:rsidRDefault="00395FD2" w:rsidP="0039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395FD2" w:rsidRDefault="00395FD2" w:rsidP="00395F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The following details were extracted from the budget for the following year: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1195"/>
        <w:gridCol w:w="1195"/>
      </w:tblGrid>
      <w:tr w:rsidR="00395FD2" w:rsidTr="009E2A54">
        <w:trPr>
          <w:jc w:val="center"/>
        </w:trPr>
        <w:tc>
          <w:tcPr>
            <w:tcW w:w="2296" w:type="dxa"/>
          </w:tcPr>
          <w:p w:rsidR="00395FD2" w:rsidRDefault="00395FD2" w:rsidP="00395F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395FD2" w:rsidRDefault="00395FD2" w:rsidP="004D2E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195" w:type="dxa"/>
          </w:tcPr>
          <w:p w:rsidR="00395FD2" w:rsidRDefault="00395FD2" w:rsidP="004D2E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395FD2" w:rsidTr="009E2A54">
        <w:trPr>
          <w:jc w:val="center"/>
        </w:trPr>
        <w:tc>
          <w:tcPr>
            <w:tcW w:w="2296" w:type="dxa"/>
          </w:tcPr>
          <w:p w:rsidR="00395FD2" w:rsidRDefault="00395FD2" w:rsidP="00395F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(40,000 units)</w:t>
            </w:r>
          </w:p>
        </w:tc>
        <w:tc>
          <w:tcPr>
            <w:tcW w:w="1195" w:type="dxa"/>
          </w:tcPr>
          <w:p w:rsidR="00395FD2" w:rsidRDefault="00F42C2B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  <w:r w:rsidR="00395FD2">
              <w:rPr>
                <w:rFonts w:ascii="Arial" w:hAnsi="Arial" w:cs="Arial"/>
              </w:rPr>
              <w:t>0,000</w:t>
            </w:r>
          </w:p>
        </w:tc>
        <w:tc>
          <w:tcPr>
            <w:tcW w:w="1195" w:type="dxa"/>
          </w:tcPr>
          <w:p w:rsidR="00395FD2" w:rsidRDefault="00F42C2B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  <w:r w:rsidR="00395FD2">
              <w:rPr>
                <w:rFonts w:ascii="Arial" w:hAnsi="Arial" w:cs="Arial"/>
              </w:rPr>
              <w:t>0,000</w:t>
            </w:r>
          </w:p>
        </w:tc>
      </w:tr>
      <w:tr w:rsidR="00395FD2" w:rsidTr="009E2A54">
        <w:trPr>
          <w:jc w:val="center"/>
        </w:trPr>
        <w:tc>
          <w:tcPr>
            <w:tcW w:w="2296" w:type="dxa"/>
          </w:tcPr>
          <w:p w:rsidR="00395FD2" w:rsidRDefault="00395FD2" w:rsidP="00395F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materials</w:t>
            </w:r>
          </w:p>
        </w:tc>
        <w:tc>
          <w:tcPr>
            <w:tcW w:w="1195" w:type="dxa"/>
          </w:tcPr>
          <w:p w:rsidR="00395FD2" w:rsidRDefault="00F42C2B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  <w:r w:rsidR="00395FD2">
              <w:rPr>
                <w:rFonts w:ascii="Arial" w:hAnsi="Arial" w:cs="Arial"/>
              </w:rPr>
              <w:t>0,000</w:t>
            </w:r>
          </w:p>
        </w:tc>
        <w:tc>
          <w:tcPr>
            <w:tcW w:w="1195" w:type="dxa"/>
          </w:tcPr>
          <w:p w:rsidR="00395FD2" w:rsidRDefault="00395FD2" w:rsidP="00BE44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95FD2" w:rsidTr="009E2A54">
        <w:trPr>
          <w:jc w:val="center"/>
        </w:trPr>
        <w:tc>
          <w:tcPr>
            <w:tcW w:w="2296" w:type="dxa"/>
          </w:tcPr>
          <w:p w:rsidR="00395FD2" w:rsidRDefault="00395FD2" w:rsidP="00395F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Labour</w:t>
            </w:r>
          </w:p>
        </w:tc>
        <w:tc>
          <w:tcPr>
            <w:tcW w:w="1195" w:type="dxa"/>
          </w:tcPr>
          <w:p w:rsidR="00395FD2" w:rsidRDefault="00F42C2B" w:rsidP="004D2E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95FD2">
              <w:rPr>
                <w:rFonts w:ascii="Arial" w:hAnsi="Arial" w:cs="Arial"/>
              </w:rPr>
              <w:t>0,000</w:t>
            </w:r>
          </w:p>
        </w:tc>
        <w:tc>
          <w:tcPr>
            <w:tcW w:w="1195" w:type="dxa"/>
          </w:tcPr>
          <w:p w:rsidR="00395FD2" w:rsidRDefault="00395FD2" w:rsidP="00BE44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95FD2" w:rsidTr="009E2A54">
        <w:trPr>
          <w:jc w:val="center"/>
        </w:trPr>
        <w:tc>
          <w:tcPr>
            <w:tcW w:w="2296" w:type="dxa"/>
          </w:tcPr>
          <w:p w:rsidR="00395FD2" w:rsidRDefault="00395FD2" w:rsidP="00395F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overheads</w:t>
            </w:r>
          </w:p>
        </w:tc>
        <w:tc>
          <w:tcPr>
            <w:tcW w:w="1195" w:type="dxa"/>
          </w:tcPr>
          <w:p w:rsidR="00395FD2" w:rsidRPr="009E2A54" w:rsidRDefault="00F42C2B" w:rsidP="004D2EBB">
            <w:pPr>
              <w:spacing w:line="36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  <w:r w:rsidR="00395FD2" w:rsidRPr="009E2A54">
              <w:rPr>
                <w:rFonts w:ascii="Arial" w:hAnsi="Arial" w:cs="Arial"/>
                <w:u w:val="single"/>
              </w:rPr>
              <w:t>,00,000</w:t>
            </w:r>
          </w:p>
        </w:tc>
        <w:tc>
          <w:tcPr>
            <w:tcW w:w="1195" w:type="dxa"/>
          </w:tcPr>
          <w:p w:rsidR="00395FD2" w:rsidRPr="009E2A54" w:rsidRDefault="00F42C2B" w:rsidP="004D2EBB">
            <w:pPr>
              <w:spacing w:line="36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6,8</w:t>
            </w:r>
            <w:r w:rsidR="00395FD2" w:rsidRPr="009E2A54">
              <w:rPr>
                <w:rFonts w:ascii="Arial" w:hAnsi="Arial" w:cs="Arial"/>
                <w:u w:val="single"/>
              </w:rPr>
              <w:t>0,000</w:t>
            </w:r>
          </w:p>
        </w:tc>
      </w:tr>
      <w:tr w:rsidR="002E17BD" w:rsidTr="009E2A54">
        <w:trPr>
          <w:jc w:val="center"/>
        </w:trPr>
        <w:tc>
          <w:tcPr>
            <w:tcW w:w="2296" w:type="dxa"/>
          </w:tcPr>
          <w:p w:rsidR="002E17BD" w:rsidRDefault="009E2A54" w:rsidP="000C25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E17BD">
              <w:rPr>
                <w:rFonts w:ascii="Arial" w:hAnsi="Arial" w:cs="Arial"/>
              </w:rPr>
              <w:t>Net profit</w:t>
            </w:r>
          </w:p>
        </w:tc>
        <w:tc>
          <w:tcPr>
            <w:tcW w:w="1195" w:type="dxa"/>
          </w:tcPr>
          <w:p w:rsidR="002E17BD" w:rsidRPr="009E2A54" w:rsidRDefault="002E17BD" w:rsidP="00BE442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2E17BD" w:rsidRPr="009E2A54" w:rsidRDefault="00F42C2B" w:rsidP="004D2EBB">
            <w:pPr>
              <w:spacing w:line="36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</w:t>
            </w:r>
            <w:r w:rsidR="002E17BD" w:rsidRPr="009E2A54">
              <w:rPr>
                <w:rFonts w:ascii="Arial" w:hAnsi="Arial" w:cs="Arial"/>
                <w:u w:val="single"/>
              </w:rPr>
              <w:t>0,000</w:t>
            </w:r>
          </w:p>
        </w:tc>
      </w:tr>
    </w:tbl>
    <w:p w:rsidR="00395FD2" w:rsidRPr="00A35C40" w:rsidRDefault="002E17BD" w:rsidP="004D2EBB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</w:t>
      </w:r>
      <w:r w:rsidR="004D2EBB">
        <w:rPr>
          <w:rFonts w:ascii="Arial" w:hAnsi="Arial" w:cs="Arial"/>
          <w:sz w:val="22"/>
          <w:szCs w:val="22"/>
        </w:rPr>
        <w:t>improve th</w:t>
      </w:r>
      <w:r w:rsidR="000B3DDD">
        <w:rPr>
          <w:rFonts w:ascii="Arial" w:hAnsi="Arial" w:cs="Arial"/>
          <w:sz w:val="22"/>
          <w:szCs w:val="22"/>
        </w:rPr>
        <w:t>e amount of net profit budgeted,</w:t>
      </w:r>
      <w:r w:rsidR="004D2EBB">
        <w:rPr>
          <w:rFonts w:ascii="Arial" w:hAnsi="Arial" w:cs="Arial"/>
          <w:sz w:val="22"/>
          <w:szCs w:val="22"/>
        </w:rPr>
        <w:t xml:space="preserve"> it is proposed to reduce the selling price from Rs.9 to Rs.8 per unit. It is </w:t>
      </w:r>
      <w:r w:rsidR="004D2EBB">
        <w:rPr>
          <w:rFonts w:ascii="Arial" w:hAnsi="Arial" w:cs="Arial"/>
          <w:sz w:val="22"/>
          <w:szCs w:val="22"/>
        </w:rPr>
        <w:lastRenderedPageBreak/>
        <w:t>anticipated that if this reduction is made, the volume of sale would increase by 30</w:t>
      </w:r>
      <w:r w:rsidR="000C252C">
        <w:rPr>
          <w:rFonts w:ascii="Arial" w:hAnsi="Arial" w:cs="Arial"/>
          <w:sz w:val="22"/>
          <w:szCs w:val="22"/>
        </w:rPr>
        <w:t>,</w:t>
      </w:r>
      <w:r w:rsidR="004D2EBB">
        <w:rPr>
          <w:rFonts w:ascii="Arial" w:hAnsi="Arial" w:cs="Arial"/>
          <w:sz w:val="22"/>
          <w:szCs w:val="22"/>
        </w:rPr>
        <w:t>000 units. Assuming that if the selling price w</w:t>
      </w:r>
      <w:r w:rsidR="000C252C">
        <w:rPr>
          <w:rFonts w:ascii="Arial" w:hAnsi="Arial" w:cs="Arial"/>
          <w:sz w:val="22"/>
          <w:szCs w:val="22"/>
        </w:rPr>
        <w:t>as</w:t>
      </w:r>
      <w:r w:rsidR="004D2EBB">
        <w:rPr>
          <w:rFonts w:ascii="Arial" w:hAnsi="Arial" w:cs="Arial"/>
          <w:sz w:val="22"/>
          <w:szCs w:val="22"/>
        </w:rPr>
        <w:t xml:space="preserve"> reduced as suggested, calculate the net profit that will be achieved.</w:t>
      </w:r>
    </w:p>
    <w:p w:rsidR="0088443E" w:rsidRPr="00996B49" w:rsidRDefault="0088443E" w:rsidP="0088443E">
      <w:pPr>
        <w:spacing w:line="360" w:lineRule="auto"/>
        <w:jc w:val="center"/>
        <w:rPr>
          <w:rFonts w:ascii="Times" w:hAnsi="Times" w:cs="Arial"/>
          <w:b/>
          <w:sz w:val="32"/>
          <w:szCs w:val="32"/>
        </w:rPr>
      </w:pPr>
      <w:r w:rsidRPr="00996B49">
        <w:rPr>
          <w:rFonts w:ascii="Times" w:hAnsi="Times" w:cs="Arial"/>
          <w:b/>
          <w:sz w:val="32"/>
          <w:szCs w:val="32"/>
        </w:rPr>
        <w:t>* * * * * * *</w:t>
      </w:r>
    </w:p>
    <w:p w:rsidR="004311DC" w:rsidRDefault="004311DC"/>
    <w:sectPr w:rsidR="004311DC" w:rsidSect="00D724FA">
      <w:footerReference w:type="even" r:id="rId7"/>
      <w:footerReference w:type="default" r:id="rId8"/>
      <w:pgSz w:w="8419" w:h="11907" w:orient="landscape" w:code="9"/>
      <w:pgMar w:top="1080" w:right="1080" w:bottom="547" w:left="108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36" w:rsidRDefault="00CC6B36" w:rsidP="00A22BCA">
      <w:r>
        <w:separator/>
      </w:r>
    </w:p>
  </w:endnote>
  <w:endnote w:type="continuationSeparator" w:id="1">
    <w:p w:rsidR="00CC6B36" w:rsidRDefault="00CC6B36" w:rsidP="00A2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F1" w:rsidRDefault="00AF4AEC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1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1FD">
      <w:rPr>
        <w:rStyle w:val="PageNumber"/>
        <w:noProof/>
      </w:rPr>
      <w:t>4</w:t>
    </w:r>
    <w:r>
      <w:rPr>
        <w:rStyle w:val="PageNumber"/>
      </w:rPr>
      <w:fldChar w:fldCharType="end"/>
    </w:r>
  </w:p>
  <w:p w:rsidR="00A147F1" w:rsidRDefault="00CC6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F1" w:rsidRDefault="00AF4AEC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1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4FA">
      <w:rPr>
        <w:rStyle w:val="PageNumber"/>
        <w:noProof/>
      </w:rPr>
      <w:t>8</w:t>
    </w:r>
    <w:r>
      <w:rPr>
        <w:rStyle w:val="PageNumber"/>
      </w:rPr>
      <w:fldChar w:fldCharType="end"/>
    </w:r>
  </w:p>
  <w:p w:rsidR="00A147F1" w:rsidRDefault="00CC6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36" w:rsidRDefault="00CC6B36" w:rsidP="00A22BCA">
      <w:r>
        <w:separator/>
      </w:r>
    </w:p>
  </w:footnote>
  <w:footnote w:type="continuationSeparator" w:id="1">
    <w:p w:rsidR="00CC6B36" w:rsidRDefault="00CC6B36" w:rsidP="00A2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8EF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04BED"/>
    <w:multiLevelType w:val="hybridMultilevel"/>
    <w:tmpl w:val="309653FE"/>
    <w:lvl w:ilvl="0" w:tplc="C21A152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1944E74"/>
    <w:multiLevelType w:val="hybridMultilevel"/>
    <w:tmpl w:val="F26A5FFE"/>
    <w:lvl w:ilvl="0" w:tplc="DEEC8D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3E"/>
    <w:rsid w:val="00017870"/>
    <w:rsid w:val="00064E31"/>
    <w:rsid w:val="000B3DDD"/>
    <w:rsid w:val="000C252C"/>
    <w:rsid w:val="000E1FCF"/>
    <w:rsid w:val="001208C8"/>
    <w:rsid w:val="002445AB"/>
    <w:rsid w:val="00265E6B"/>
    <w:rsid w:val="002E17BD"/>
    <w:rsid w:val="002F3A5E"/>
    <w:rsid w:val="00364B63"/>
    <w:rsid w:val="00395FD2"/>
    <w:rsid w:val="003F617E"/>
    <w:rsid w:val="004311DC"/>
    <w:rsid w:val="004D2EBB"/>
    <w:rsid w:val="00553785"/>
    <w:rsid w:val="00573A71"/>
    <w:rsid w:val="00575627"/>
    <w:rsid w:val="005F1D69"/>
    <w:rsid w:val="006033E5"/>
    <w:rsid w:val="00655EDF"/>
    <w:rsid w:val="00656DEE"/>
    <w:rsid w:val="006B3D38"/>
    <w:rsid w:val="006C5305"/>
    <w:rsid w:val="007B5A03"/>
    <w:rsid w:val="007C779F"/>
    <w:rsid w:val="007D7732"/>
    <w:rsid w:val="00836720"/>
    <w:rsid w:val="0088443E"/>
    <w:rsid w:val="0093773C"/>
    <w:rsid w:val="009C2108"/>
    <w:rsid w:val="009D19C6"/>
    <w:rsid w:val="009E2A54"/>
    <w:rsid w:val="00A22BCA"/>
    <w:rsid w:val="00A35C40"/>
    <w:rsid w:val="00A515C7"/>
    <w:rsid w:val="00AF4AEC"/>
    <w:rsid w:val="00BE4429"/>
    <w:rsid w:val="00C1467E"/>
    <w:rsid w:val="00CC6B36"/>
    <w:rsid w:val="00CE09A5"/>
    <w:rsid w:val="00D724FA"/>
    <w:rsid w:val="00DE02CE"/>
    <w:rsid w:val="00E100F7"/>
    <w:rsid w:val="00E67866"/>
    <w:rsid w:val="00ED7DE3"/>
    <w:rsid w:val="00F42C2B"/>
    <w:rsid w:val="00F76A73"/>
    <w:rsid w:val="00F931FD"/>
    <w:rsid w:val="00FC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443E"/>
  </w:style>
  <w:style w:type="table" w:styleId="TableGrid">
    <w:name w:val="Table Grid"/>
    <w:basedOn w:val="TableNormal"/>
    <w:uiPriority w:val="59"/>
    <w:rsid w:val="006C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cp:lastPrinted>2019-01-28T06:19:00Z</cp:lastPrinted>
  <dcterms:created xsi:type="dcterms:W3CDTF">2003-12-31T19:29:00Z</dcterms:created>
  <dcterms:modified xsi:type="dcterms:W3CDTF">2019-01-28T06:19:00Z</dcterms:modified>
</cp:coreProperties>
</file>